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7845"/>
        </w:tabs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2">
      <w:pPr>
        <w:tabs>
          <w:tab w:val="left" w:leader="none" w:pos="7845"/>
        </w:tabs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845"/>
        </w:tabs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МЕТОДИКА ЗА ОЦЕНКА НА ОФЕРТИТЕ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7845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5">
      <w:pPr>
        <w:tabs>
          <w:tab w:val="left" w:leader="none" w:pos="7845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Пласт Комерс – 93 ООД ще прилага критерий за оценка на офертите „икономически най-изгодна цена“, при класиране на допуснатите до участие предложения в процедура за избор на изпълнител с публична покана с предмет: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Оценката на офертите по настоящата процедура ще се извърши въз основа на следните показатели:</w:t>
      </w:r>
    </w:p>
    <w:p w:rsidR="00000000" w:rsidDel="00000000" w:rsidP="00000000" w:rsidRDefault="00000000" w:rsidRPr="00000000" w14:paraId="00000009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Таблица № 1:</w:t>
      </w:r>
      <w:r w:rsidDel="00000000" w:rsidR="00000000" w:rsidRPr="00000000">
        <w:rPr>
          <w:rtl w:val="0"/>
        </w:rPr>
      </w:r>
    </w:p>
    <w:tbl>
      <w:tblPr>
        <w:tblStyle w:val="Table1"/>
        <w:tblW w:w="8754.0" w:type="dxa"/>
        <w:jc w:val="left"/>
        <w:tblInd w:w="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80"/>
        <w:gridCol w:w="1440"/>
        <w:gridCol w:w="1440"/>
        <w:gridCol w:w="1794"/>
        <w:tblGridChange w:id="0">
          <w:tblGrid>
            <w:gridCol w:w="4080"/>
            <w:gridCol w:w="1440"/>
            <w:gridCol w:w="1440"/>
            <w:gridCol w:w="1794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Показател - 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(наименование)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Относително тегло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Максимално възможен брой точки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Символно обозначение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(точките по показателя)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1. Предложена цена – П1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30% (0,30)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2. Сервизно обслужване – П2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20 % (0,20)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3. Гаранционни условия – П3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20 % (0,20)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4. Допълнителни техн. характеристики и екстри извън минималните изисквания – П4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30% (0,30)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Показател № 1: „Предложена цена” (Тц) –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максимален брой точки 100 и относителна тежест в комплексната оценка 0,30. </w:t>
      </w:r>
    </w:p>
    <w:p w:rsidR="00000000" w:rsidDel="00000000" w:rsidP="00000000" w:rsidRDefault="00000000" w:rsidRPr="00000000" w14:paraId="00000027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Максималният брой точки – 100 точки получава офертата с предложена най-ниска обща цена. Точките на останалите участници се определят в съотношение към най-ниската предложена цена по следната формула:</w:t>
      </w:r>
    </w:p>
    <w:p w:rsidR="00000000" w:rsidDel="00000000" w:rsidP="00000000" w:rsidRDefault="00000000" w:rsidRPr="00000000" w14:paraId="00000029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Ц min</w:t>
      </w:r>
    </w:p>
    <w:p w:rsidR="00000000" w:rsidDel="00000000" w:rsidP="00000000" w:rsidRDefault="00000000" w:rsidRPr="00000000" w14:paraId="0000002B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Тц  = 100  х  ----------,  </w:t>
      </w:r>
    </w:p>
    <w:p w:rsidR="00000000" w:rsidDel="00000000" w:rsidP="00000000" w:rsidRDefault="00000000" w:rsidRPr="00000000" w14:paraId="0000002C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 Цn</w:t>
      </w:r>
    </w:p>
    <w:p w:rsidR="00000000" w:rsidDel="00000000" w:rsidP="00000000" w:rsidRDefault="00000000" w:rsidRPr="00000000" w14:paraId="0000002D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където:</w:t>
      </w:r>
    </w:p>
    <w:p w:rsidR="00000000" w:rsidDel="00000000" w:rsidP="00000000" w:rsidRDefault="00000000" w:rsidRPr="00000000" w14:paraId="0000002E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“100” – максималните точки по критерия (Тц);</w:t>
      </w:r>
    </w:p>
    <w:p w:rsidR="00000000" w:rsidDel="00000000" w:rsidP="00000000" w:rsidRDefault="00000000" w:rsidRPr="00000000" w14:paraId="0000002F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Ц min – е най-ниската предложена цена от участник; </w:t>
      </w:r>
    </w:p>
    <w:p w:rsidR="00000000" w:rsidDel="00000000" w:rsidP="00000000" w:rsidRDefault="00000000" w:rsidRPr="00000000" w14:paraId="00000030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Цn – цената, предложена от конкретния участник по критерия (Тц);</w:t>
      </w:r>
    </w:p>
    <w:p w:rsidR="00000000" w:rsidDel="00000000" w:rsidP="00000000" w:rsidRDefault="00000000" w:rsidRPr="00000000" w14:paraId="00000031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Точките по първия показател на всеки от участниците в процедурата се получават по следната формула:</w:t>
      </w:r>
    </w:p>
    <w:p w:rsidR="00000000" w:rsidDel="00000000" w:rsidP="00000000" w:rsidRDefault="00000000" w:rsidRPr="00000000" w14:paraId="00000033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 1 = Тц  х Q1, където:</w:t>
      </w:r>
    </w:p>
    <w:p w:rsidR="00000000" w:rsidDel="00000000" w:rsidP="00000000" w:rsidRDefault="00000000" w:rsidRPr="00000000" w14:paraId="00000034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Q1 = 0,30 е относителната тежест на показателя.</w:t>
      </w:r>
    </w:p>
    <w:p w:rsidR="00000000" w:rsidDel="00000000" w:rsidP="00000000" w:rsidRDefault="00000000" w:rsidRPr="00000000" w14:paraId="00000035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Показател № 2: „Сервизно обслужване” (Тс)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– с максимален брой точки 100 и относителна тежест в комплексната оценка 0,20. </w:t>
      </w:r>
    </w:p>
    <w:p w:rsidR="00000000" w:rsidDel="00000000" w:rsidP="00000000" w:rsidRDefault="00000000" w:rsidRPr="00000000" w14:paraId="00000037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Максималният брой точки – 100 точки получава офертата с предложени най-добри условия по отношение на сервизното обслужване, като точките по показателя за всяка оферта се изчисляват като сума от точките по начина, посочен в таблица № 2. На оценка по показателя подлежат само оферти, покриващи поставените в документацията минимални изисквания.</w:t>
      </w:r>
    </w:p>
    <w:p w:rsidR="00000000" w:rsidDel="00000000" w:rsidP="00000000" w:rsidRDefault="00000000" w:rsidRPr="00000000" w14:paraId="00000039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Таблица 2:</w:t>
      </w:r>
    </w:p>
    <w:tbl>
      <w:tblPr>
        <w:tblStyle w:val="Table2"/>
        <w:tblW w:w="8905.0" w:type="dxa"/>
        <w:jc w:val="left"/>
        <w:tblInd w:w="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69"/>
        <w:gridCol w:w="2400"/>
        <w:gridCol w:w="1399"/>
        <w:gridCol w:w="1837"/>
        <w:tblGridChange w:id="0">
          <w:tblGrid>
            <w:gridCol w:w="3269"/>
            <w:gridCol w:w="2400"/>
            <w:gridCol w:w="1399"/>
            <w:gridCol w:w="1837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Сервизно обслужване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Точки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4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Време за реакция – Тс1</w:t>
            </w:r>
          </w:p>
          <w:p w:rsidR="00000000" w:rsidDel="00000000" w:rsidP="00000000" w:rsidRDefault="00000000" w:rsidRPr="00000000" w14:paraId="00000045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(включва времето за посещение на място и констатиране на повредата в производствената сграда на компанията в гр. Берковица)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 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 точки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 точки</w:t>
            </w:r>
          </w:p>
          <w:p w:rsidR="00000000" w:rsidDel="00000000" w:rsidP="00000000" w:rsidRDefault="00000000" w:rsidRPr="00000000" w14:paraId="0000004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(максимален брой за критерия</w:t>
            </w:r>
          </w:p>
          <w:p w:rsidR="00000000" w:rsidDel="00000000" w:rsidP="00000000" w:rsidRDefault="00000000" w:rsidRPr="00000000" w14:paraId="0000004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Тс1)</w:t>
            </w:r>
          </w:p>
          <w:p w:rsidR="00000000" w:rsidDel="00000000" w:rsidP="00000000" w:rsidRDefault="00000000" w:rsidRPr="00000000" w14:paraId="0000004B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4 до 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8 до 12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12 до 24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24 до 48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Време за отстраняване на повреда – Тс2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 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 точки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 точки</w:t>
            </w:r>
          </w:p>
          <w:p w:rsidR="00000000" w:rsidDel="00000000" w:rsidP="00000000" w:rsidRDefault="00000000" w:rsidRPr="00000000" w14:paraId="0000006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(максимален брой за критерия</w:t>
            </w:r>
          </w:p>
          <w:p w:rsidR="00000000" w:rsidDel="00000000" w:rsidP="00000000" w:rsidRDefault="00000000" w:rsidRPr="00000000" w14:paraId="0000006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Тс2)</w:t>
            </w:r>
          </w:p>
          <w:p w:rsidR="00000000" w:rsidDel="00000000" w:rsidP="00000000" w:rsidRDefault="00000000" w:rsidRPr="00000000" w14:paraId="00000062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8 до 24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24 до 48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48 до 72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 72 до 168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73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Максимално възможни точки по показател  </w:t>
            </w:r>
          </w:p>
          <w:p w:rsidR="00000000" w:rsidDel="00000000" w:rsidP="00000000" w:rsidRDefault="00000000" w:rsidRPr="00000000" w14:paraId="00000074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“Сервизно обслужване” – Тс = Тс1 + Тс2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 точки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78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Точките по втория показател на всеки от участниците в процедурата  се получават по следната формула:</w:t>
      </w:r>
    </w:p>
    <w:p w:rsidR="00000000" w:rsidDel="00000000" w:rsidP="00000000" w:rsidRDefault="00000000" w:rsidRPr="00000000" w14:paraId="0000007D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 2 = Тс  х Q2, където:</w:t>
      </w:r>
    </w:p>
    <w:p w:rsidR="00000000" w:rsidDel="00000000" w:rsidP="00000000" w:rsidRDefault="00000000" w:rsidRPr="00000000" w14:paraId="0000007F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Q2 = 0,20 е относителната тежест на показателя.</w:t>
      </w:r>
    </w:p>
    <w:p w:rsidR="00000000" w:rsidDel="00000000" w:rsidP="00000000" w:rsidRDefault="00000000" w:rsidRPr="00000000" w14:paraId="00000080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Показател № 3: „Гаранционни условия” (Тг) –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максимален брой точки 100 и относителна тежест в комплексната оценка 0,20. </w:t>
      </w:r>
    </w:p>
    <w:p w:rsidR="00000000" w:rsidDel="00000000" w:rsidP="00000000" w:rsidRDefault="00000000" w:rsidRPr="00000000" w14:paraId="00000082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Максималният брой точки – 100 точки - получава офертата с предложен най-дълъг гаранционен срок, но не по-малко от 12 (дванадесет) месеца и не повече от 36 (тридесет и шест) месеца. На оценка по показателя подлежат само оферти, покриващи поставените в документацията минимални изисквания.</w:t>
      </w:r>
    </w:p>
    <w:p w:rsidR="00000000" w:rsidDel="00000000" w:rsidP="00000000" w:rsidRDefault="00000000" w:rsidRPr="00000000" w14:paraId="00000083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Точките на останалите участници се определят в съотношение към предложения най-дълъг гаранционен срок по следната формула:</w:t>
      </w:r>
    </w:p>
    <w:p w:rsidR="00000000" w:rsidDel="00000000" w:rsidP="00000000" w:rsidRDefault="00000000" w:rsidRPr="00000000" w14:paraId="00000084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 Гn</w:t>
      </w:r>
    </w:p>
    <w:p w:rsidR="00000000" w:rsidDel="00000000" w:rsidP="00000000" w:rsidRDefault="00000000" w:rsidRPr="00000000" w14:paraId="00000085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Тг  = 100  х  ----------,  </w:t>
      </w:r>
    </w:p>
    <w:p w:rsidR="00000000" w:rsidDel="00000000" w:rsidP="00000000" w:rsidRDefault="00000000" w:rsidRPr="00000000" w14:paraId="00000086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Гmах</w:t>
      </w:r>
    </w:p>
    <w:p w:rsidR="00000000" w:rsidDel="00000000" w:rsidP="00000000" w:rsidRDefault="00000000" w:rsidRPr="00000000" w14:paraId="00000087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където:</w:t>
      </w:r>
    </w:p>
    <w:p w:rsidR="00000000" w:rsidDel="00000000" w:rsidP="00000000" w:rsidRDefault="00000000" w:rsidRPr="00000000" w14:paraId="0000008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“100” – максималните точки по критерия (Тг);</w:t>
      </w:r>
    </w:p>
    <w:p w:rsidR="00000000" w:rsidDel="00000000" w:rsidP="00000000" w:rsidRDefault="00000000" w:rsidRPr="00000000" w14:paraId="00000089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Гmах – е най-дългия предложен от участник гаранционен срок; </w:t>
      </w:r>
    </w:p>
    <w:p w:rsidR="00000000" w:rsidDel="00000000" w:rsidP="00000000" w:rsidRDefault="00000000" w:rsidRPr="00000000" w14:paraId="0000008A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Гn – гаранционния срок, предложен от участника; </w:t>
      </w:r>
    </w:p>
    <w:p w:rsidR="00000000" w:rsidDel="00000000" w:rsidP="00000000" w:rsidRDefault="00000000" w:rsidRPr="00000000" w14:paraId="0000008B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Точките по третия показател на всеки от участниците в процедурата се получават по следната формула:</w:t>
      </w:r>
    </w:p>
    <w:p w:rsidR="00000000" w:rsidDel="00000000" w:rsidP="00000000" w:rsidRDefault="00000000" w:rsidRPr="00000000" w14:paraId="0000008C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П3 = Тг  х Q3, където:</w:t>
      </w:r>
    </w:p>
    <w:p w:rsidR="00000000" w:rsidDel="00000000" w:rsidP="00000000" w:rsidRDefault="00000000" w:rsidRPr="00000000" w14:paraId="0000008D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Q3 = 0,20 е относителната тежест на показателя.</w:t>
      </w:r>
    </w:p>
    <w:p w:rsidR="00000000" w:rsidDel="00000000" w:rsidP="00000000" w:rsidRDefault="00000000" w:rsidRPr="00000000" w14:paraId="0000008E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Показател № 4: „Допълнителни техн. характеристики и екстри извън минималните изисквания“ (Те) –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максимален брой точки 100 и относителна тежест в комплексната оценка 0,30. </w:t>
      </w:r>
    </w:p>
    <w:p w:rsidR="00000000" w:rsidDel="00000000" w:rsidP="00000000" w:rsidRDefault="00000000" w:rsidRPr="00000000" w14:paraId="00000090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 w14:paraId="00000091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Най-голям брой точки получава офертата с предложен най-голям брой екстри извън посочените в техническото задание по следните таблици.</w:t>
      </w:r>
    </w:p>
    <w:p w:rsidR="00000000" w:rsidDel="00000000" w:rsidP="00000000" w:rsidRDefault="00000000" w:rsidRPr="00000000" w14:paraId="00000092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20"/>
        <w:gridCol w:w="7320"/>
        <w:gridCol w:w="840"/>
        <w:tblGridChange w:id="0">
          <w:tblGrid>
            <w:gridCol w:w="720"/>
            <w:gridCol w:w="7320"/>
            <w:gridCol w:w="84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№ по ред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Допълнителни техн. характеристики и екстри извън минималните изисквания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брой точки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tabs>
                <w:tab w:val="left" w:leader="none" w:pos="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1: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сензор за налягане преди решетката/филтъра (за всяка от двете решетки)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не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хидравлична станция за бързоскоростна смяна на решетката (за всяка от двете решетки)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не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2: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Скорост на хидравличната щанца: 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 10 удара/минута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≥ 10 удара/минута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хидравлична станция към хидравличната щанца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не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  <w:tab w:val="left" w:leader="none" w:pos="180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3: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Скорост на хидравличната щанца: 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 10 удара/минута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≥ 10 удара/минута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хидравлична станция към хидравличната щанца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не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DA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Точките по четвъртия показател на всеки от участниците в процедурата се получават по следната формула:</w:t>
      </w:r>
    </w:p>
    <w:p w:rsidR="00000000" w:rsidDel="00000000" w:rsidP="00000000" w:rsidRDefault="00000000" w:rsidRPr="00000000" w14:paraId="000000DD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 4 = Те  х Q4, където:</w:t>
      </w:r>
    </w:p>
    <w:p w:rsidR="00000000" w:rsidDel="00000000" w:rsidP="00000000" w:rsidRDefault="00000000" w:rsidRPr="00000000" w14:paraId="000000DE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Q4 = 0,30 е относителната тежест на показателя.</w:t>
      </w:r>
    </w:p>
    <w:p w:rsidR="00000000" w:rsidDel="00000000" w:rsidP="00000000" w:rsidRDefault="00000000" w:rsidRPr="00000000" w14:paraId="000000DF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Комплексната оценка (КО)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 всеки участник се получава, като сума от оценките на офертата по четирите показателя, изчислени по формулата:</w:t>
      </w:r>
    </w:p>
    <w:p w:rsidR="00000000" w:rsidDel="00000000" w:rsidP="00000000" w:rsidRDefault="00000000" w:rsidRPr="00000000" w14:paraId="000000E1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 = П 1 + П 2 + П 3 + П4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Оценката се закръглява с точност до два знака след десетичната запетая (0.00).</w:t>
      </w:r>
    </w:p>
    <w:p w:rsidR="00000000" w:rsidDel="00000000" w:rsidP="00000000" w:rsidRDefault="00000000" w:rsidRPr="00000000" w14:paraId="000000E4">
      <w:pPr>
        <w:spacing w:line="36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Офертата, получила най-висока комплексна оценка, се класира на първо място.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7" w:orient="portrait"/>
      <w:pgMar w:bottom="899" w:top="540" w:left="1560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ungsuh"/>
  <w:font w:name="Calibri"/>
  <w:font w:name="Hebar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spacing w:before="5" w:line="242" w:lineRule="auto"/>
      <w:ind w:left="0" w:right="25" w:hanging="2"/>
      <w:jc w:val="center"/>
      <w:rPr>
        <w:rFonts w:ascii="Times New Roman" w:cs="Times New Roman" w:eastAsia="Times New Roman" w:hAnsi="Times New Roman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 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EF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F0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3">
    <w:pPr>
      <w:spacing w:before="5" w:line="242" w:lineRule="auto"/>
      <w:ind w:left="0" w:right="25" w:hanging="2"/>
      <w:jc w:val="center"/>
      <w:rPr>
        <w:rFonts w:ascii="Times New Roman" w:cs="Times New Roman" w:eastAsia="Times New Roman" w:hAnsi="Times New Roman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 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F5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F6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right="25" w:hanging="2"/>
      <w:jc w:val="both"/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pBdr>
        <w:bottom w:color="000000" w:space="1" w:sz="6" w:val="single"/>
      </w:pBdr>
      <w:tabs>
        <w:tab w:val="left" w:leader="none" w:pos="3080"/>
      </w:tabs>
      <w:ind w:left="0" w:hanging="2"/>
      <w:rPr/>
    </w:pPr>
    <w:r w:rsidDel="00000000" w:rsidR="00000000" w:rsidRPr="00000000">
      <w:rPr>
        <w:rtl w:val="0"/>
      </w:rPr>
      <w:tab/>
    </w:r>
  </w:p>
  <w:p w:rsidR="00000000" w:rsidDel="00000000" w:rsidP="00000000" w:rsidRDefault="00000000" w:rsidRPr="00000000" w14:paraId="000000E6">
    <w:pPr>
      <w:pBdr>
        <w:bottom w:color="000000" w:space="1" w:sz="6" w:val="single"/>
      </w:pBdr>
      <w:tabs>
        <w:tab w:val="left" w:leader="none" w:pos="435"/>
        <w:tab w:val="center" w:leader="none" w:pos="4536"/>
        <w:tab w:val="center" w:leader="none" w:pos="7285"/>
        <w:tab w:val="right" w:leader="none" w:pos="9072"/>
      </w:tabs>
      <w:ind w:left="0" w:hanging="2"/>
      <w:rPr/>
    </w:pPr>
    <w:r w:rsidDel="00000000" w:rsidR="00000000" w:rsidRPr="00000000">
      <w:rPr/>
      <w:drawing>
        <wp:inline distB="0" distT="0" distL="114300" distR="114300">
          <wp:extent cx="1441450" cy="889000"/>
          <wp:effectExtent b="0" l="0" r="0" t="0"/>
          <wp:docPr id="104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</w:t>
    </w:r>
    <w:r w:rsidDel="00000000" w:rsidR="00000000" w:rsidRPr="00000000">
      <w:rPr>
        <w:rFonts w:ascii="Calibri" w:cs="Calibri" w:eastAsia="Calibri" w:hAnsi="Calibri"/>
        <w:rtl w:val="0"/>
      </w:rPr>
      <w:tab/>
      <w:tab/>
    </w:r>
    <w:r w:rsidDel="00000000" w:rsidR="00000000" w:rsidRPr="00000000">
      <w:rPr/>
      <w:drawing>
        <wp:inline distB="0" distT="0" distL="114300" distR="114300">
          <wp:extent cx="1619250" cy="742950"/>
          <wp:effectExtent b="0" l="0" r="0" t="0"/>
          <wp:docPr id="104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250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color w:val="000000"/>
      </w:rPr>
      <w:drawing>
        <wp:inline distB="0" distT="0" distL="114300" distR="114300">
          <wp:extent cx="1441450" cy="889000"/>
          <wp:effectExtent b="0" l="0" r="0" t="0"/>
          <wp:docPr id="104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w:rPr>
        <w:color w:val="000000"/>
      </w:rPr>
      <w:drawing>
        <wp:inline distB="0" distT="0" distL="114300" distR="114300">
          <wp:extent cx="1619250" cy="742950"/>
          <wp:effectExtent b="0" l="0" r="0" t="0"/>
          <wp:docPr id="104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250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 w:val="1"/>
    <w:pPr>
      <w:keepNext w:val="1"/>
      <w:spacing w:after="60" w:before="240"/>
    </w:pPr>
    <w:rPr>
      <w:rFonts w:ascii="Arial" w:cs="Arial" w:hAnsi="Arial"/>
      <w:b w:val="1"/>
      <w:bCs w:val="1"/>
      <w:kern w:val="32"/>
      <w:sz w:val="32"/>
      <w:szCs w:val="32"/>
      <w:lang w:eastAsia="bg-BG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  <w:lang w:eastAsia="bg-BG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7">
    <w:name w:val="heading 7"/>
    <w:basedOn w:val="a"/>
    <w:next w:val="a"/>
    <w:pPr>
      <w:keepNext w:val="1"/>
      <w:pBdr>
        <w:bottom w:color="auto" w:space="1" w:sz="6" w:val="single"/>
      </w:pBdr>
      <w:jc w:val="center"/>
      <w:outlineLvl w:val="6"/>
    </w:pPr>
    <w:rPr>
      <w:rFonts w:ascii="Times New Roman" w:hAnsi="Times New Roman"/>
      <w:b w:val="1"/>
      <w:spacing w:val="300"/>
      <w:kern w:val="144"/>
      <w:sz w:val="2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next w:val="TableNormal0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lang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pPr>
      <w:spacing w:after="20" w:before="20"/>
      <w:jc w:val="center"/>
    </w:pPr>
    <w:rPr>
      <w:rFonts w:ascii="Times New Roman" w:hAnsi="Times New Roman"/>
      <w:b w:val="1"/>
      <w:caps w:val="1"/>
      <w:sz w:val="22"/>
    </w:rPr>
  </w:style>
  <w:style w:type="character" w:styleId="a7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CharCharCharCharCharCharChar" w:customStyle="1">
    <w:name w:val="Char Char Знак Знак Char Знак Знак Char Char Char Знак Знак Char"/>
    <w:basedOn w:val="a"/>
    <w:pPr>
      <w:tabs>
        <w:tab w:val="left" w:pos="709"/>
      </w:tabs>
    </w:pPr>
    <w:rPr>
      <w:rFonts w:ascii="Tahoma" w:hAnsi="Tahoma"/>
      <w:lang w:eastAsia="pl-PL" w:val="pl-PL"/>
    </w:rPr>
  </w:style>
  <w:style w:type="character" w:styleId="nomark" w:customStyle="1">
    <w:name w:val="nomark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8">
    <w:name w:val="Table Grid"/>
    <w:basedOn w:val="TableNormal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 w:customStyle="1">
    <w:name w:val="Char"/>
    <w:basedOn w:val="a"/>
    <w:pPr>
      <w:tabs>
        <w:tab w:val="left" w:pos="709"/>
      </w:tabs>
    </w:pPr>
    <w:rPr>
      <w:rFonts w:ascii="Futura Bk" w:hAnsi="Futura Bk"/>
      <w:noProof w:val="1"/>
      <w:sz w:val="20"/>
      <w:lang/>
    </w:rPr>
  </w:style>
  <w:style w:type="paragraph" w:styleId="a9">
    <w:name w:val="Balloon Text"/>
    <w:basedOn w:val="a"/>
    <w:rPr>
      <w:rFonts w:ascii="Tahoma" w:cs="Tahoma" w:hAnsi="Tahoma"/>
      <w:sz w:val="16"/>
      <w:szCs w:val="16"/>
    </w:rPr>
  </w:style>
  <w:style w:type="paragraph" w:styleId="aa">
    <w:name w:val="footnote text"/>
    <w:basedOn w:val="a"/>
    <w:rPr>
      <w:rFonts w:ascii="Times New Roman" w:hAnsi="Times New Roman"/>
      <w:sz w:val="20"/>
      <w:lang w:eastAsia="bg-BG"/>
    </w:rPr>
  </w:style>
  <w:style w:type="character" w:styleId="ab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ac">
    <w:name w:val="Body Text Indent"/>
    <w:basedOn w:val="a"/>
    <w:pPr>
      <w:spacing w:after="120"/>
      <w:ind w:left="360"/>
    </w:pPr>
    <w:rPr>
      <w:rFonts w:ascii="Times New Roman" w:hAnsi="Times New Roman"/>
      <w:lang w:eastAsia="bg-BG"/>
    </w:rPr>
  </w:style>
  <w:style w:type="character" w:styleId="CommentReference" w:customStyle="1">
    <w:name w:val="Comment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 w:customStyle="1">
    <w:name w:val="Comment Text"/>
    <w:basedOn w:val="a"/>
    <w:rPr>
      <w:sz w:val="20"/>
    </w:rPr>
  </w:style>
  <w:style w:type="paragraph" w:styleId="CommentSubject" w:customStyle="1">
    <w:name w:val="Comment Subject"/>
    <w:basedOn w:val="CommentText"/>
    <w:next w:val="CommentText"/>
    <w:rPr>
      <w:b w:val="1"/>
      <w:bCs w:val="1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eaderChar" w:customStyle="1">
    <w:name w:val="Head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FooterChar" w:customStyle="1">
    <w:name w:val="Foot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 w:customStyle="1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HTML">
    <w:name w:val="HTML Preformatted"/>
    <w:basedOn w:val="a"/>
    <w:qFormat w:val="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sz w:val="20"/>
      <w:lang w:val="en-US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U0t813RdH5D//4BVRfSsTKFzKw==">AMUW2mW9kdHxanOPG9AUIFRCB16mJiKqcPTmnWb+k0nYAYBeSv+B/adYiqdIKRnEEU1De26maOBcqdQD2EcktBm5H9ujFjzlxZH5raEjYW/U7T+IoTp8lq9mwGxpo6lYfNxBeh/rVjgmu7O+h5Yw6sU3qgLfhJ/kqWRKYExhLSNVVZDR3r1DBawbQihp9IdJgTBhJaGfq6HCKHC6hPxOsDb2QFqxuLhR8A==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2022-11-10T07:08:00Z</dcterms:created>
  <dc:creator>a.toteva</dc:creator>
</cp:coreProperties>
</file>